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Pr>
          <w:rFonts w:ascii="Arial" w:eastAsia="Arial" w:hAnsi="Arial" w:cs="Arial"/>
          <w:b/>
          <w:w w:val="105"/>
          <w:sz w:val="18"/>
        </w:rPr>
        <w:t>07/2017 -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EA1685" w:rsidRPr="006040FF" w:rsidRDefault="00EA1685" w:rsidP="00EA1685">
      <w:pPr>
        <w:widowControl w:val="0"/>
        <w:spacing w:after="0" w:line="240" w:lineRule="auto"/>
        <w:ind w:left="120"/>
        <w:jc w:val="both"/>
        <w:rPr>
          <w:rFonts w:ascii="Arial" w:eastAsia="Arial" w:hAnsi="Arial" w:cs="Arial"/>
          <w:b/>
          <w:sz w:val="17"/>
        </w:rPr>
      </w:pPr>
      <w:r w:rsidRPr="006040FF">
        <w:rPr>
          <w:rFonts w:ascii="Arial" w:eastAsia="Arial" w:hAnsi="Arial" w:cs="Arial"/>
          <w:b/>
          <w:sz w:val="17"/>
        </w:rPr>
        <w:t>TERMO DE CREDENCIAMENTO DE PESSOAS JURÍDICAS PARA FORNECIMENTO DE CONSULTAS E EXAMES MÉDICOS ESPECIALIZADOS.</w:t>
      </w: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CLINICA CATARINENSE DE DERMATOLOGIA S/S LTDA</w:t>
      </w:r>
      <w:r w:rsidRPr="006040FF">
        <w:rPr>
          <w:rFonts w:ascii="Arial" w:eastAsia="Arial" w:hAnsi="Arial" w:cs="Arial"/>
          <w:w w:val="105"/>
          <w:sz w:val="18"/>
          <w:szCs w:val="18"/>
        </w:rPr>
        <w:t>,</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pessoa  jurídica  de  direit</w:t>
      </w:r>
      <w:r>
        <w:rPr>
          <w:rFonts w:ascii="Arial" w:eastAsia="Arial" w:hAnsi="Arial" w:cs="Arial"/>
          <w:w w:val="105"/>
          <w:sz w:val="18"/>
          <w:szCs w:val="18"/>
        </w:rPr>
        <w:t>o  privado,  estabelecida  na Av. Getúlio Vargas</w:t>
      </w:r>
      <w:r w:rsidRPr="006040FF">
        <w:rPr>
          <w:rFonts w:ascii="Arial" w:eastAsia="Arial" w:hAnsi="Arial" w:cs="Arial"/>
          <w:w w:val="105"/>
          <w:sz w:val="18"/>
          <w:szCs w:val="18"/>
        </w:rPr>
        <w:t>,</w:t>
      </w:r>
      <w:r>
        <w:rPr>
          <w:rFonts w:ascii="Arial" w:eastAsia="Arial" w:hAnsi="Arial" w:cs="Arial"/>
          <w:w w:val="105"/>
          <w:sz w:val="18"/>
          <w:szCs w:val="18"/>
        </w:rPr>
        <w:t xml:space="preserve"> nº 283 S, sala 04 e 05, centro</w:t>
      </w:r>
      <w:r w:rsidRPr="006040FF">
        <w:rPr>
          <w:rFonts w:ascii="Arial" w:eastAsia="Arial" w:hAnsi="Arial" w:cs="Arial"/>
          <w:w w:val="105"/>
          <w:sz w:val="18"/>
          <w:szCs w:val="18"/>
        </w:rPr>
        <w:t xml:space="preserve"> -  na  cidade  de </w:t>
      </w:r>
      <w:r>
        <w:rPr>
          <w:rFonts w:ascii="Arial" w:eastAsia="Arial" w:hAnsi="Arial" w:cs="Arial"/>
          <w:w w:val="105"/>
          <w:sz w:val="18"/>
          <w:szCs w:val="18"/>
        </w:rPr>
        <w:t>Chapecó</w:t>
      </w:r>
      <w:r w:rsidRPr="006040FF">
        <w:rPr>
          <w:rFonts w:ascii="Arial" w:eastAsia="Arial" w:hAnsi="Arial" w:cs="Arial"/>
          <w:w w:val="105"/>
          <w:sz w:val="18"/>
          <w:szCs w:val="18"/>
        </w:rPr>
        <w:t xml:space="preserve"> - </w:t>
      </w:r>
      <w:r>
        <w:rPr>
          <w:rFonts w:ascii="Arial" w:eastAsia="Arial" w:hAnsi="Arial" w:cs="Arial"/>
          <w:w w:val="105"/>
          <w:sz w:val="18"/>
          <w:szCs w:val="18"/>
        </w:rPr>
        <w:t>SC</w:t>
      </w:r>
      <w:r w:rsidRPr="006040FF">
        <w:rPr>
          <w:rFonts w:ascii="Arial" w:eastAsia="Arial" w:hAnsi="Arial" w:cs="Arial"/>
          <w:w w:val="105"/>
          <w:sz w:val="18"/>
          <w:szCs w:val="18"/>
        </w:rPr>
        <w:t>,  inscrita  no  CNPJ  sob  n°</w:t>
      </w:r>
      <w:r>
        <w:rPr>
          <w:rFonts w:ascii="Arial" w:eastAsia="Arial" w:hAnsi="Arial" w:cs="Arial"/>
          <w:w w:val="105"/>
          <w:sz w:val="18"/>
          <w:szCs w:val="18"/>
        </w:rPr>
        <w:t>13.510.173/0001-00, neste ato representado pelo, Sr. ASDRUBAL CESAR DA CUNHA RUSSO</w:t>
      </w:r>
      <w:r w:rsidRPr="006040FF">
        <w:rPr>
          <w:rFonts w:ascii="Arial" w:eastAsia="Arial" w:hAnsi="Arial" w:cs="Arial"/>
          <w:w w:val="105"/>
          <w:sz w:val="18"/>
          <w:szCs w:val="18"/>
        </w:rPr>
        <w:t>, brasileiro,</w:t>
      </w:r>
      <w:r>
        <w:rPr>
          <w:rFonts w:ascii="Arial" w:eastAsia="Arial" w:hAnsi="Arial" w:cs="Arial"/>
          <w:w w:val="105"/>
          <w:sz w:val="18"/>
          <w:szCs w:val="18"/>
        </w:rPr>
        <w:t xml:space="preserve"> solteiro, médico, inscrito no CRM/SC 11324, </w:t>
      </w:r>
      <w:r w:rsidRPr="006040FF">
        <w:rPr>
          <w:rFonts w:ascii="Arial" w:eastAsia="Arial" w:hAnsi="Arial" w:cs="Arial"/>
          <w:w w:val="105"/>
          <w:sz w:val="18"/>
          <w:szCs w:val="18"/>
        </w:rPr>
        <w:t xml:space="preserve">inscrito  no  CPF  n° </w:t>
      </w:r>
      <w:r>
        <w:rPr>
          <w:rFonts w:ascii="Arial" w:eastAsia="Arial" w:hAnsi="Arial" w:cs="Arial"/>
          <w:w w:val="105"/>
          <w:sz w:val="18"/>
          <w:szCs w:val="18"/>
        </w:rPr>
        <w:t>029.420.617-58</w:t>
      </w:r>
      <w:r w:rsidRPr="006040FF">
        <w:rPr>
          <w:rFonts w:ascii="Arial" w:eastAsia="Arial" w:hAnsi="Arial" w:cs="Arial"/>
          <w:w w:val="105"/>
          <w:sz w:val="18"/>
          <w:szCs w:val="18"/>
        </w:rPr>
        <w:t>.,  portador  da  Cédula  de  Identidade    nº</w:t>
      </w:r>
      <w:r>
        <w:rPr>
          <w:rFonts w:ascii="Arial" w:eastAsia="Arial" w:hAnsi="Arial" w:cs="Arial"/>
          <w:w w:val="105"/>
          <w:sz w:val="18"/>
          <w:szCs w:val="18"/>
        </w:rPr>
        <w:t xml:space="preserve"> MG104145550, expedida pela SSP/</w:t>
      </w:r>
      <w:proofErr w:type="spellStart"/>
      <w:r>
        <w:rPr>
          <w:rFonts w:ascii="Arial" w:eastAsia="Arial" w:hAnsi="Arial" w:cs="Arial"/>
          <w:w w:val="105"/>
          <w:sz w:val="18"/>
          <w:szCs w:val="18"/>
        </w:rPr>
        <w:t>RJ,</w:t>
      </w:r>
      <w:r w:rsidRPr="006040FF">
        <w:rPr>
          <w:rFonts w:ascii="Arial" w:eastAsia="Arial" w:hAnsi="Arial" w:cs="Arial"/>
          <w:w w:val="105"/>
          <w:sz w:val="18"/>
          <w:szCs w:val="18"/>
        </w:rPr>
        <w:t>doravante</w:t>
      </w:r>
      <w:proofErr w:type="spellEnd"/>
      <w:r w:rsidRPr="006040FF">
        <w:rPr>
          <w:rFonts w:ascii="Arial" w:eastAsia="Arial" w:hAnsi="Arial" w:cs="Arial"/>
          <w:w w:val="105"/>
          <w:sz w:val="18"/>
          <w:szCs w:val="18"/>
        </w:rPr>
        <w:t xml:space="preserv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bookmarkStart w:id="0" w:name="_GoBack"/>
      <w:bookmarkEnd w:id="0"/>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prestação dos serviços de Exames e 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8080" w:type="dxa"/>
        <w:tblInd w:w="5" w:type="dxa"/>
        <w:tblLayout w:type="fixed"/>
        <w:tblCellMar>
          <w:left w:w="0" w:type="dxa"/>
          <w:right w:w="0" w:type="dxa"/>
        </w:tblCellMar>
        <w:tblLook w:val="01E0" w:firstRow="1" w:lastRow="1" w:firstColumn="1" w:lastColumn="1" w:noHBand="0" w:noVBand="0"/>
      </w:tblPr>
      <w:tblGrid>
        <w:gridCol w:w="851"/>
        <w:gridCol w:w="5103"/>
        <w:gridCol w:w="2126"/>
      </w:tblGrid>
      <w:tr w:rsidR="00EA1685" w:rsidRPr="006040FF" w:rsidTr="003F3244">
        <w:trPr>
          <w:trHeight w:hRule="exact" w:val="493"/>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Item</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Descrição</w:t>
            </w:r>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3" w:after="0" w:line="240" w:lineRule="auto"/>
              <w:ind w:right="801"/>
              <w:rPr>
                <w:rFonts w:ascii="Arial" w:eastAsia="Times New Roman" w:hAnsi="Arial" w:cs="Arial"/>
                <w:spacing w:val="7"/>
                <w:w w:val="104"/>
                <w:sz w:val="18"/>
                <w:szCs w:val="18"/>
              </w:rPr>
            </w:pPr>
            <w:r>
              <w:rPr>
                <w:rFonts w:ascii="Arial" w:eastAsia="Times New Roman" w:hAnsi="Arial" w:cs="Arial"/>
                <w:spacing w:val="7"/>
                <w:w w:val="104"/>
                <w:sz w:val="18"/>
                <w:szCs w:val="18"/>
              </w:rPr>
              <w:t>Valor Máximo RS:</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73</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Serviços de Consulta especializada em Dermatologia.</w:t>
            </w:r>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180,00</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88</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Fototerapia</w:t>
            </w:r>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60,00</w:t>
            </w:r>
          </w:p>
        </w:tc>
      </w:tr>
      <w:tr w:rsidR="00EA1685" w:rsidRPr="006040FF" w:rsidTr="003F3244">
        <w:trPr>
          <w:trHeight w:hRule="exact" w:val="495"/>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89</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right="-2977"/>
              <w:rPr>
                <w:rFonts w:ascii="Arial" w:eastAsia="Times New Roman" w:hAnsi="Arial" w:cs="Arial"/>
                <w:spacing w:val="7"/>
                <w:w w:val="104"/>
                <w:sz w:val="18"/>
                <w:szCs w:val="18"/>
              </w:rPr>
            </w:pPr>
            <w:r w:rsidRPr="002C5335">
              <w:rPr>
                <w:rFonts w:ascii="Arial" w:hAnsi="Arial" w:cs="Arial"/>
                <w:spacing w:val="7"/>
                <w:w w:val="104"/>
                <w:sz w:val="18"/>
                <w:szCs w:val="18"/>
              </w:rPr>
              <w:t>Cauter</w:t>
            </w:r>
            <w:r>
              <w:rPr>
                <w:rFonts w:ascii="Arial" w:hAnsi="Arial" w:cs="Arial"/>
                <w:spacing w:val="7"/>
                <w:w w:val="104"/>
                <w:sz w:val="18"/>
                <w:szCs w:val="18"/>
              </w:rPr>
              <w:t xml:space="preserve">ização </w:t>
            </w:r>
            <w:proofErr w:type="spellStart"/>
            <w:r>
              <w:rPr>
                <w:rFonts w:ascii="Arial" w:hAnsi="Arial" w:cs="Arial"/>
                <w:spacing w:val="7"/>
                <w:w w:val="104"/>
                <w:sz w:val="18"/>
                <w:szCs w:val="18"/>
              </w:rPr>
              <w:t>Quimica</w:t>
            </w:r>
            <w:proofErr w:type="spellEnd"/>
            <w:r>
              <w:rPr>
                <w:rFonts w:ascii="Arial" w:hAnsi="Arial" w:cs="Arial"/>
                <w:spacing w:val="7"/>
                <w:w w:val="104"/>
                <w:sz w:val="18"/>
                <w:szCs w:val="18"/>
              </w:rPr>
              <w:t xml:space="preserve"> De Lesões (Ácido </w:t>
            </w:r>
            <w:proofErr w:type="spellStart"/>
            <w:r w:rsidRPr="002C5335">
              <w:rPr>
                <w:rFonts w:ascii="Arial" w:hAnsi="Arial" w:cs="Arial"/>
                <w:spacing w:val="7"/>
                <w:w w:val="104"/>
                <w:sz w:val="18"/>
                <w:szCs w:val="18"/>
              </w:rPr>
              <w:t>Tricloroacetico</w:t>
            </w:r>
            <w:proofErr w:type="spellEnd"/>
            <w:r w:rsidRPr="002C5335">
              <w:rPr>
                <w:rFonts w:ascii="Arial" w:hAnsi="Arial" w:cs="Arial"/>
                <w:spacing w:val="7"/>
                <w:w w:val="104"/>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80,00</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90</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sidRPr="002C5335">
              <w:rPr>
                <w:rFonts w:ascii="Arial" w:hAnsi="Arial" w:cs="Arial"/>
                <w:spacing w:val="7"/>
                <w:w w:val="104"/>
                <w:sz w:val="18"/>
                <w:szCs w:val="18"/>
              </w:rPr>
              <w:t>Congelamento De Lesões de Pele.</w:t>
            </w:r>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tabs>
                <w:tab w:val="left" w:pos="850"/>
                <w:tab w:val="left" w:pos="1984"/>
              </w:tabs>
              <w:spacing w:before="3" w:after="0" w:line="240" w:lineRule="auto"/>
              <w:ind w:left="567" w:right="799"/>
              <w:jc w:val="both"/>
              <w:rPr>
                <w:rFonts w:ascii="Arial" w:eastAsia="Times New Roman" w:hAnsi="Arial" w:cs="Arial"/>
                <w:spacing w:val="7"/>
                <w:w w:val="104"/>
                <w:sz w:val="18"/>
                <w:szCs w:val="18"/>
              </w:rPr>
            </w:pPr>
            <w:r w:rsidRPr="002C5335">
              <w:rPr>
                <w:rFonts w:ascii="Arial" w:hAnsi="Arial" w:cs="Arial"/>
                <w:spacing w:val="7"/>
                <w:w w:val="104"/>
                <w:sz w:val="18"/>
                <w:szCs w:val="18"/>
              </w:rPr>
              <w:t>200,00</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91</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sidRPr="002C5335">
              <w:rPr>
                <w:rFonts w:ascii="Arial" w:hAnsi="Arial" w:cs="Arial"/>
                <w:spacing w:val="7"/>
                <w:w w:val="104"/>
                <w:sz w:val="18"/>
                <w:szCs w:val="18"/>
              </w:rPr>
              <w:t xml:space="preserve">Biópsia </w:t>
            </w:r>
            <w:proofErr w:type="spellStart"/>
            <w:r w:rsidRPr="002C5335">
              <w:rPr>
                <w:rFonts w:ascii="Arial" w:hAnsi="Arial" w:cs="Arial"/>
                <w:spacing w:val="7"/>
                <w:w w:val="104"/>
                <w:sz w:val="18"/>
                <w:szCs w:val="18"/>
              </w:rPr>
              <w:t>Incisional</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3" w:after="0" w:line="240" w:lineRule="auto"/>
              <w:ind w:left="567" w:right="799"/>
              <w:jc w:val="both"/>
              <w:rPr>
                <w:rFonts w:ascii="Arial" w:eastAsia="Times New Roman" w:hAnsi="Arial" w:cs="Arial"/>
                <w:spacing w:val="7"/>
                <w:w w:val="104"/>
                <w:sz w:val="18"/>
                <w:szCs w:val="18"/>
              </w:rPr>
            </w:pPr>
            <w:r w:rsidRPr="002C5335">
              <w:rPr>
                <w:rFonts w:ascii="Arial" w:hAnsi="Arial" w:cs="Arial"/>
                <w:spacing w:val="7"/>
                <w:w w:val="104"/>
                <w:sz w:val="18"/>
                <w:szCs w:val="18"/>
              </w:rPr>
              <w:t>350,00</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Default="00EA1685"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92</w:t>
            </w:r>
          </w:p>
        </w:tc>
        <w:tc>
          <w:tcPr>
            <w:tcW w:w="5103" w:type="dxa"/>
            <w:tcBorders>
              <w:top w:val="single" w:sz="4" w:space="0" w:color="000000"/>
              <w:left w:val="single" w:sz="4" w:space="0" w:color="000000"/>
              <w:bottom w:val="single" w:sz="4" w:space="0" w:color="000000"/>
              <w:right w:val="single" w:sz="4" w:space="0" w:color="000000"/>
            </w:tcBorders>
          </w:tcPr>
          <w:p w:rsidR="00EA1685" w:rsidRPr="002C5335" w:rsidRDefault="00EA1685" w:rsidP="003F3244">
            <w:pPr>
              <w:spacing w:before="51" w:after="0" w:line="240" w:lineRule="auto"/>
              <w:ind w:left="59"/>
              <w:jc w:val="both"/>
              <w:rPr>
                <w:rFonts w:ascii="Arial" w:hAnsi="Arial" w:cs="Arial"/>
                <w:spacing w:val="7"/>
                <w:w w:val="104"/>
                <w:sz w:val="18"/>
                <w:szCs w:val="18"/>
              </w:rPr>
            </w:pPr>
            <w:r w:rsidRPr="002C5335">
              <w:rPr>
                <w:rFonts w:ascii="Arial" w:hAnsi="Arial" w:cs="Arial"/>
                <w:spacing w:val="7"/>
                <w:w w:val="104"/>
                <w:sz w:val="18"/>
                <w:szCs w:val="18"/>
              </w:rPr>
              <w:t xml:space="preserve">Biópsia </w:t>
            </w:r>
            <w:proofErr w:type="spellStart"/>
            <w:r w:rsidRPr="002C5335">
              <w:rPr>
                <w:rFonts w:ascii="Arial" w:hAnsi="Arial" w:cs="Arial"/>
                <w:spacing w:val="7"/>
                <w:w w:val="104"/>
                <w:sz w:val="18"/>
                <w:szCs w:val="18"/>
              </w:rPr>
              <w:t>Encisional</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EA1685" w:rsidRPr="002C5335" w:rsidRDefault="00EA1685"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600,00</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Default="00EA1685"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93</w:t>
            </w:r>
          </w:p>
        </w:tc>
        <w:tc>
          <w:tcPr>
            <w:tcW w:w="5103" w:type="dxa"/>
            <w:tcBorders>
              <w:top w:val="single" w:sz="4" w:space="0" w:color="000000"/>
              <w:left w:val="single" w:sz="4" w:space="0" w:color="000000"/>
              <w:bottom w:val="single" w:sz="4" w:space="0" w:color="000000"/>
              <w:right w:val="single" w:sz="4" w:space="0" w:color="000000"/>
            </w:tcBorders>
          </w:tcPr>
          <w:p w:rsidR="00EA1685" w:rsidRPr="002C5335" w:rsidRDefault="00EA1685" w:rsidP="003F3244">
            <w:pPr>
              <w:spacing w:before="51" w:after="0" w:line="240" w:lineRule="auto"/>
              <w:ind w:left="59"/>
              <w:jc w:val="both"/>
              <w:rPr>
                <w:rFonts w:ascii="Arial" w:hAnsi="Arial" w:cs="Arial"/>
                <w:spacing w:val="7"/>
                <w:w w:val="104"/>
                <w:sz w:val="18"/>
                <w:szCs w:val="18"/>
              </w:rPr>
            </w:pPr>
            <w:r w:rsidRPr="002C5335">
              <w:rPr>
                <w:rFonts w:ascii="Arial" w:hAnsi="Arial" w:cs="Arial"/>
                <w:spacing w:val="7"/>
                <w:w w:val="104"/>
                <w:sz w:val="18"/>
                <w:szCs w:val="18"/>
              </w:rPr>
              <w:t>Remoção de Lesões Benignas de pele.</w:t>
            </w:r>
          </w:p>
        </w:tc>
        <w:tc>
          <w:tcPr>
            <w:tcW w:w="2126" w:type="dxa"/>
            <w:tcBorders>
              <w:top w:val="single" w:sz="4" w:space="0" w:color="000000"/>
              <w:left w:val="single" w:sz="4" w:space="0" w:color="000000"/>
              <w:bottom w:val="single" w:sz="4" w:space="0" w:color="000000"/>
              <w:right w:val="single" w:sz="4" w:space="0" w:color="000000"/>
            </w:tcBorders>
          </w:tcPr>
          <w:p w:rsidR="00EA1685" w:rsidRPr="002C5335" w:rsidRDefault="00EA1685"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350,00</w:t>
            </w:r>
          </w:p>
        </w:tc>
      </w:tr>
    </w:tbl>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4" w:after="0" w:line="240" w:lineRule="auto"/>
        <w:rPr>
          <w:rFonts w:ascii="Arial" w:eastAsia="Arial" w:hAnsi="Arial" w:cs="Arial"/>
          <w:sz w:val="16"/>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 xml:space="preserve">Os valores, máximos, por exame/consultas,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EA1685" w:rsidRPr="006040FF" w:rsidRDefault="00EA1685" w:rsidP="00EA1685">
      <w:pPr>
        <w:widowControl w:val="0"/>
        <w:spacing w:before="83" w:after="0" w:line="252" w:lineRule="auto"/>
        <w:ind w:left="119" w:right="110" w:firstLine="676"/>
        <w:jc w:val="both"/>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IV - atender prontamente quaisquer exigências da fiscalização do contrato, inerentes ao objeto do </w:t>
      </w:r>
      <w:r w:rsidRPr="006040FF">
        <w:rPr>
          <w:rFonts w:ascii="Arial" w:eastAsia="Arial" w:hAnsi="Arial" w:cs="Arial"/>
          <w:bCs/>
          <w:w w:val="105"/>
          <w:sz w:val="18"/>
          <w:szCs w:val="18"/>
        </w:rPr>
        <w:lastRenderedPageBreak/>
        <w:t>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before="83" w:after="0" w:line="240" w:lineRule="auto"/>
        <w:ind w:left="119"/>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3" w:after="0" w:line="240" w:lineRule="auto"/>
        <w:rPr>
          <w:rFonts w:ascii="Arial" w:eastAsia="Arial" w:hAnsi="Arial" w:cs="Arial"/>
          <w:b/>
          <w:sz w:val="16"/>
          <w:szCs w:val="18"/>
        </w:rPr>
      </w:pPr>
    </w:p>
    <w:p w:rsidR="00EA1685" w:rsidRPr="006040FF" w:rsidRDefault="00EA1685" w:rsidP="00EA1685">
      <w:pPr>
        <w:widowControl w:val="0"/>
        <w:spacing w:after="0" w:line="240" w:lineRule="auto"/>
        <w:ind w:left="119"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lastRenderedPageBreak/>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E, por estarem justos e acordados, assinam o presente Termo, em cinco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1" w:after="0" w:line="240" w:lineRule="auto"/>
        <w:rPr>
          <w:rFonts w:ascii="Arial" w:eastAsia="Arial" w:hAnsi="Arial" w:cs="Arial"/>
          <w:sz w:val="16"/>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Pr>
          <w:rFonts w:ascii="Arial" w:eastAsia="Arial" w:hAnsi="Arial" w:cs="Arial"/>
          <w:w w:val="105"/>
          <w:sz w:val="18"/>
          <w:szCs w:val="18"/>
        </w:rPr>
        <w:t>29 de Março,</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VILMAR SCHMAEDECKE                      CLINICA CATARINENSE DE DERMATOLOGIA S/S LTDA</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Default="00EA1685" w:rsidP="00EA1685">
      <w:pPr>
        <w:widowControl w:val="0"/>
        <w:spacing w:before="6" w:after="0" w:line="240" w:lineRule="auto"/>
        <w:rPr>
          <w:rFonts w:ascii="Arial" w:eastAsia="Arial" w:hAnsi="Arial" w:cs="Arial"/>
          <w:sz w:val="19"/>
          <w:szCs w:val="18"/>
        </w:rPr>
      </w:pP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     CPF: 067.907.749-98                                                                    CPF: 423.468.439-20</w:t>
      </w:r>
    </w:p>
    <w:p w:rsidR="00EA1685" w:rsidRPr="000642FE" w:rsidRDefault="00EA1685" w:rsidP="00EA1685">
      <w:pPr>
        <w:widowControl w:val="0"/>
        <w:spacing w:after="0" w:line="240" w:lineRule="auto"/>
        <w:rPr>
          <w:rFonts w:ascii="Arial" w:eastAsia="Arial" w:hAnsi="Arial" w:cs="Arial"/>
          <w:b/>
          <w:sz w:val="20"/>
          <w:szCs w:val="18"/>
        </w:rPr>
      </w:pPr>
    </w:p>
    <w:p w:rsidR="00EA1685" w:rsidRDefault="00EA1685" w:rsidP="00EA1685"/>
    <w:p w:rsidR="001A2006" w:rsidRPr="00EA1685" w:rsidRDefault="001A2006" w:rsidP="00EA1685"/>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96035"/>
    <w:rsid w:val="001A2006"/>
    <w:rsid w:val="002E0350"/>
    <w:rsid w:val="003F6B79"/>
    <w:rsid w:val="00930EC2"/>
    <w:rsid w:val="00936B53"/>
    <w:rsid w:val="00A8772E"/>
    <w:rsid w:val="00A90EBF"/>
    <w:rsid w:val="00BB463E"/>
    <w:rsid w:val="00BE00FE"/>
    <w:rsid w:val="00DC5B97"/>
    <w:rsid w:val="00EA1685"/>
    <w:rsid w:val="00EB33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1588</Words>
  <Characters>8580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4</cp:revision>
  <cp:lastPrinted>2017-03-23T14:30:00Z</cp:lastPrinted>
  <dcterms:created xsi:type="dcterms:W3CDTF">2017-03-29T11:00:00Z</dcterms:created>
  <dcterms:modified xsi:type="dcterms:W3CDTF">2017-03-29T11:58:00Z</dcterms:modified>
</cp:coreProperties>
</file>